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93B" w:rsidRDefault="0039393B" w:rsidP="00E7583E">
      <w:pPr>
        <w:pStyle w:val="a7"/>
        <w:jc w:val="both"/>
        <w:rPr>
          <w:kern w:val="36"/>
          <w:lang w:eastAsia="ru-RU"/>
        </w:rPr>
      </w:pPr>
    </w:p>
    <w:p w:rsidR="0039393B" w:rsidRDefault="0039393B" w:rsidP="00E7583E">
      <w:pPr>
        <w:pStyle w:val="a7"/>
        <w:jc w:val="both"/>
        <w:rPr>
          <w:kern w:val="36"/>
          <w:lang w:eastAsia="ru-RU"/>
        </w:rPr>
      </w:pPr>
    </w:p>
    <w:p w:rsidR="0039393B" w:rsidRDefault="0039393B" w:rsidP="00E7583E">
      <w:pPr>
        <w:pStyle w:val="a7"/>
        <w:jc w:val="both"/>
        <w:rPr>
          <w:kern w:val="36"/>
          <w:lang w:eastAsia="ru-RU"/>
        </w:rPr>
      </w:pPr>
    </w:p>
    <w:p w:rsidR="0039393B" w:rsidRPr="00EF1651" w:rsidRDefault="0039393B" w:rsidP="00E7583E">
      <w:pPr>
        <w:pStyle w:val="a7"/>
        <w:jc w:val="center"/>
        <w:rPr>
          <w:rFonts w:ascii="Arial" w:hAnsi="Arial" w:cs="Arial"/>
          <w:kern w:val="36"/>
          <w:lang w:eastAsia="ru-RU"/>
        </w:rPr>
      </w:pPr>
      <w:r w:rsidRPr="00EF1651">
        <w:rPr>
          <w:rFonts w:ascii="Arial" w:hAnsi="Arial" w:cs="Arial"/>
          <w:noProof/>
          <w:kern w:val="3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8.1pt;margin-top:-58pt;width:218.15pt;height:49.9pt;z-index:251659264;mso-height-percent:200;mso-height-percent:200;mso-width-relative:margin;mso-height-relative:margin" stroked="f" strokecolor="red" strokeweight="3pt">
            <v:stroke linestyle="thinThin"/>
            <v:textbox style="mso-next-textbox:#_x0000_s1026;mso-fit-shape-to-text:t">
              <w:txbxContent>
                <w:p w:rsidR="0039393B" w:rsidRPr="00340736" w:rsidRDefault="0039393B" w:rsidP="0039393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375A7">
                    <w:rPr>
                      <w:b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883474" cy="184067"/>
                        <wp:effectExtent l="0" t="0" r="0" b="0"/>
                        <wp:docPr id="7" name="Рисунок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29824" t="10427" r="55318" b="8461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3285" cy="1835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E6507">
                    <w:rPr>
                      <w:noProof/>
                    </w:rPr>
                    <w:drawing>
                      <wp:inline distT="0" distB="0" distL="0" distR="0">
                        <wp:extent cx="248145" cy="325122"/>
                        <wp:effectExtent l="19050" t="0" r="0" b="0"/>
                        <wp:docPr id="8" name="Рисунок 1" descr="D:\КУРСЫ ГО\РАЗНОЕ\ГЕРБ РАЙОНА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КУРСЫ ГО\РАЗНОЕ\ГЕРБ РАЙОНА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9148" cy="3264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375A7">
                    <w:rPr>
                      <w:b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883474" cy="184067"/>
                        <wp:effectExtent l="0" t="0" r="0" b="0"/>
                        <wp:docPr id="9" name="Рисунок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29824" t="10427" r="55318" b="8461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3285" cy="1835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9393B" w:rsidRPr="003A6E95" w:rsidRDefault="0039393B" w:rsidP="0039393B">
                  <w:pPr>
                    <w:jc w:val="center"/>
                    <w:rPr>
                      <w:rFonts w:eastAsia="Batang"/>
                      <w:b/>
                      <w:color w:val="0070C0"/>
                      <w:sz w:val="16"/>
                      <w:szCs w:val="16"/>
                    </w:rPr>
                  </w:pPr>
                  <w:r w:rsidRPr="003A6E95">
                    <w:rPr>
                      <w:b/>
                      <w:color w:val="0070C0"/>
                      <w:sz w:val="16"/>
                      <w:szCs w:val="16"/>
                    </w:rPr>
                    <w:t xml:space="preserve">МКОУ </w:t>
                  </w:r>
                  <w:r w:rsidRPr="003A6E95">
                    <w:rPr>
                      <w:rFonts w:eastAsia="Batang"/>
                      <w:b/>
                      <w:color w:val="0070C0"/>
                      <w:sz w:val="16"/>
                      <w:szCs w:val="16"/>
                    </w:rPr>
                    <w:t>ДПО «КУРСЫ ГРАЖДАНСКОЙ ОБОРОНЫ»</w:t>
                  </w:r>
                </w:p>
                <w:p w:rsidR="0039393B" w:rsidRPr="003A6E95" w:rsidRDefault="0039393B" w:rsidP="0039393B">
                  <w:pPr>
                    <w:jc w:val="center"/>
                    <w:rPr>
                      <w:color w:val="0070C0"/>
                      <w:sz w:val="12"/>
                      <w:szCs w:val="12"/>
                    </w:rPr>
                  </w:pPr>
                  <w:r w:rsidRPr="003A6E95">
                    <w:rPr>
                      <w:rFonts w:eastAsia="Batang"/>
                      <w:b/>
                      <w:color w:val="0070C0"/>
                      <w:sz w:val="12"/>
                      <w:szCs w:val="12"/>
                    </w:rPr>
                    <w:t xml:space="preserve">МО </w:t>
                  </w:r>
                  <w:proofErr w:type="spellStart"/>
                  <w:r w:rsidRPr="003A6E95">
                    <w:rPr>
                      <w:rFonts w:eastAsia="Batang"/>
                      <w:b/>
                      <w:color w:val="0070C0"/>
                      <w:sz w:val="12"/>
                      <w:szCs w:val="12"/>
                    </w:rPr>
                    <w:t>Гулькевичский</w:t>
                  </w:r>
                  <w:proofErr w:type="spellEnd"/>
                  <w:r w:rsidRPr="003A6E95">
                    <w:rPr>
                      <w:rFonts w:eastAsia="Batang"/>
                      <w:b/>
                      <w:color w:val="0070C0"/>
                      <w:sz w:val="12"/>
                      <w:szCs w:val="12"/>
                    </w:rPr>
                    <w:t xml:space="preserve"> район</w:t>
                  </w:r>
                </w:p>
              </w:txbxContent>
            </v:textbox>
          </v:shape>
        </w:pict>
      </w:r>
      <w:r w:rsidRPr="00EF1651">
        <w:rPr>
          <w:rFonts w:ascii="Arial" w:hAnsi="Arial" w:cs="Arial"/>
          <w:kern w:val="36"/>
          <w:lang w:eastAsia="ru-RU"/>
        </w:rPr>
        <w:t>Меры безопасности при купании в праздник Крещения Господня</w:t>
      </w:r>
    </w:p>
    <w:p w:rsidR="0039393B" w:rsidRPr="0039393B" w:rsidRDefault="0039393B" w:rsidP="00E7583E">
      <w:pPr>
        <w:pStyle w:val="a7"/>
        <w:jc w:val="both"/>
        <w:rPr>
          <w:kern w:val="36"/>
          <w:lang w:eastAsia="ru-RU"/>
        </w:rPr>
      </w:pPr>
    </w:p>
    <w:p w:rsidR="0039393B" w:rsidRPr="00EF1651" w:rsidRDefault="00EF1651" w:rsidP="00E7583E">
      <w:pPr>
        <w:pStyle w:val="a7"/>
        <w:ind w:left="4253" w:firstLine="425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F1651">
        <w:rPr>
          <w:rFonts w:ascii="Arial" w:hAnsi="Arial" w:cs="Arial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20955</wp:posOffset>
            </wp:positionV>
            <wp:extent cx="2565400" cy="1562100"/>
            <wp:effectExtent l="19050" t="0" r="6350" b="0"/>
            <wp:wrapNone/>
            <wp:docPr id="1" name="Рисунок 1" descr="В Рыбинске готовят крещенскую куп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Рыбинске готовят крещенскую купел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348" cy="1562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393B" w:rsidRPr="00EF1651">
        <w:rPr>
          <w:rFonts w:ascii="Arial" w:hAnsi="Arial" w:cs="Arial"/>
          <w:color w:val="000000"/>
          <w:sz w:val="20"/>
          <w:szCs w:val="20"/>
          <w:lang w:eastAsia="ru-RU"/>
        </w:rPr>
        <w:t>В ночь с 18 на 19 января православный мир отмечает праздник Крещения Господня, или Богоявления. В Крещенский сочельник и в сам день Крещения Господня во всех православных храмах после Божественной литургии совершается обряд Великого освящения воды. По древнему поверью, в этот день вся вода становится святой и исцеляет любые недуги. Освященная Крещенская вода – величайшая святыня. Ее хранят в течение всего года, употребляя в небольшом количестве утром натощак, предварительно прочитав специальную молитву. Считается, что, окунувшись в нее, люди освобождаются от грехов. Многие отважатся в этот день искупаться в иордани — вырубленной в форме креста проруби.</w:t>
      </w:r>
    </w:p>
    <w:p w:rsidR="0039393B" w:rsidRPr="00EF1651" w:rsidRDefault="0039393B" w:rsidP="00E7583E">
      <w:pPr>
        <w:tabs>
          <w:tab w:val="left" w:pos="2268"/>
          <w:tab w:val="left" w:pos="2552"/>
        </w:tabs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EF1651">
        <w:rPr>
          <w:rFonts w:ascii="Arial" w:hAnsi="Arial" w:cs="Arial"/>
          <w:color w:val="000000"/>
          <w:sz w:val="20"/>
          <w:szCs w:val="20"/>
        </w:rPr>
        <w:t>Для того</w:t>
      </w:r>
      <w:proofErr w:type="gramStart"/>
      <w:r w:rsidRPr="00EF1651">
        <w:rPr>
          <w:rFonts w:ascii="Arial" w:hAnsi="Arial" w:cs="Arial"/>
          <w:color w:val="000000"/>
          <w:sz w:val="20"/>
          <w:szCs w:val="20"/>
        </w:rPr>
        <w:t>,</w:t>
      </w:r>
      <w:proofErr w:type="gramEnd"/>
      <w:r w:rsidRPr="00EF1651">
        <w:rPr>
          <w:rFonts w:ascii="Arial" w:hAnsi="Arial" w:cs="Arial"/>
          <w:color w:val="000000"/>
          <w:sz w:val="20"/>
          <w:szCs w:val="20"/>
        </w:rPr>
        <w:t xml:space="preserve"> чтобы праздник не омрачился несчастным случаем на воде, </w:t>
      </w:r>
      <w:r w:rsidR="00EF1651" w:rsidRPr="00EF1651">
        <w:rPr>
          <w:rFonts w:ascii="Arial" w:hAnsi="Arial" w:cs="Arial"/>
          <w:color w:val="000000"/>
          <w:sz w:val="20"/>
          <w:szCs w:val="20"/>
        </w:rPr>
        <w:t>управлени</w:t>
      </w:r>
      <w:r w:rsidR="00E7583E">
        <w:rPr>
          <w:rFonts w:ascii="Arial" w:hAnsi="Arial" w:cs="Arial"/>
          <w:color w:val="000000"/>
          <w:sz w:val="20"/>
          <w:szCs w:val="20"/>
        </w:rPr>
        <w:t>е</w:t>
      </w:r>
      <w:r w:rsidR="00EF1651" w:rsidRPr="00EF1651">
        <w:rPr>
          <w:rFonts w:ascii="Arial" w:hAnsi="Arial" w:cs="Arial"/>
          <w:color w:val="000000"/>
          <w:sz w:val="20"/>
          <w:szCs w:val="20"/>
        </w:rPr>
        <w:t xml:space="preserve"> по делам гражданской обороны и чрезвычайным ситуациям, казачества, военным вопросам и взаимодействию с правоохранительными органами администрации МО </w:t>
      </w:r>
      <w:proofErr w:type="spellStart"/>
      <w:r w:rsidR="00EF1651" w:rsidRPr="00EF1651">
        <w:rPr>
          <w:rFonts w:ascii="Arial" w:hAnsi="Arial" w:cs="Arial"/>
          <w:color w:val="000000"/>
          <w:sz w:val="20"/>
          <w:szCs w:val="20"/>
        </w:rPr>
        <w:t>Гулькевичский</w:t>
      </w:r>
      <w:proofErr w:type="spellEnd"/>
      <w:r w:rsidR="00EF1651" w:rsidRPr="00EF1651">
        <w:rPr>
          <w:rFonts w:ascii="Arial" w:hAnsi="Arial" w:cs="Arial"/>
          <w:color w:val="000000"/>
          <w:sz w:val="20"/>
          <w:szCs w:val="20"/>
        </w:rPr>
        <w:t xml:space="preserve"> район</w:t>
      </w:r>
      <w:r w:rsidRPr="00EF1651">
        <w:rPr>
          <w:rFonts w:ascii="Arial" w:hAnsi="Arial" w:cs="Arial"/>
          <w:color w:val="000000"/>
          <w:sz w:val="20"/>
          <w:szCs w:val="20"/>
        </w:rPr>
        <w:t xml:space="preserve"> призывает купающихся соблюдать следующие правила:</w:t>
      </w:r>
    </w:p>
    <w:p w:rsidR="00E7583E" w:rsidRDefault="0039393B" w:rsidP="00E7583E">
      <w:pPr>
        <w:pStyle w:val="a7"/>
        <w:ind w:firstLine="567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F1651">
        <w:rPr>
          <w:rFonts w:ascii="Arial" w:hAnsi="Arial" w:cs="Arial"/>
          <w:color w:val="000000"/>
          <w:sz w:val="20"/>
          <w:szCs w:val="20"/>
          <w:lang w:eastAsia="ru-RU"/>
        </w:rPr>
        <w:t>Окунаться (купаться) следует в специально оборудованных прорубях.</w:t>
      </w:r>
    </w:p>
    <w:p w:rsidR="00E7583E" w:rsidRDefault="0039393B" w:rsidP="00E7583E">
      <w:pPr>
        <w:pStyle w:val="a7"/>
        <w:ind w:firstLine="567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F1651">
        <w:rPr>
          <w:rFonts w:ascii="Arial" w:hAnsi="Arial" w:cs="Arial"/>
          <w:color w:val="000000"/>
          <w:sz w:val="20"/>
          <w:szCs w:val="20"/>
          <w:lang w:eastAsia="ru-RU"/>
        </w:rPr>
        <w:t>• Перед купанием в проруби необходимо разогреть тело, сделав разминку, пробежку.</w:t>
      </w:r>
    </w:p>
    <w:p w:rsidR="00E7583E" w:rsidRDefault="0039393B" w:rsidP="00E7583E">
      <w:pPr>
        <w:pStyle w:val="a7"/>
        <w:ind w:firstLine="567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F1651">
        <w:rPr>
          <w:rFonts w:ascii="Arial" w:hAnsi="Arial" w:cs="Arial"/>
          <w:color w:val="000000"/>
          <w:sz w:val="20"/>
          <w:szCs w:val="20"/>
          <w:lang w:eastAsia="ru-RU"/>
        </w:rPr>
        <w:t>• К проруби необходимо подходить в удобной, нескользкой и легкоснимаемой обуви, чтобы предотвратить потери чувствительности ног. Лучше использовать ботинки или шерстяные носки для того, чтобы дойти до проруби. Возможно использование специальных резиновых тапочек, которые</w:t>
      </w:r>
      <w:r w:rsidR="00E7583E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EF1651">
        <w:rPr>
          <w:rFonts w:ascii="Arial" w:hAnsi="Arial" w:cs="Arial"/>
          <w:color w:val="000000"/>
          <w:sz w:val="20"/>
          <w:szCs w:val="20"/>
          <w:lang w:eastAsia="ru-RU"/>
        </w:rPr>
        <w:t>не дадут Вам скользить на льду. Идя к проруби, помните, что дорожка может быть скользкой. Идите медленно и внимательно.</w:t>
      </w:r>
    </w:p>
    <w:p w:rsidR="00E7583E" w:rsidRDefault="0039393B" w:rsidP="00E7583E">
      <w:pPr>
        <w:pStyle w:val="a7"/>
        <w:ind w:firstLine="567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F1651">
        <w:rPr>
          <w:rFonts w:ascii="Arial" w:hAnsi="Arial" w:cs="Arial"/>
          <w:color w:val="000000"/>
          <w:sz w:val="20"/>
          <w:szCs w:val="20"/>
          <w:lang w:eastAsia="ru-RU"/>
        </w:rPr>
        <w:t>• Проследите за тем, чтобы лестница для спуска в воду была устойчивой.</w:t>
      </w:r>
    </w:p>
    <w:p w:rsidR="00E7583E" w:rsidRDefault="0039393B" w:rsidP="00E7583E">
      <w:pPr>
        <w:pStyle w:val="a7"/>
        <w:ind w:firstLine="567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F1651">
        <w:rPr>
          <w:rFonts w:ascii="Arial" w:hAnsi="Arial" w:cs="Arial"/>
          <w:color w:val="000000"/>
          <w:sz w:val="20"/>
          <w:szCs w:val="20"/>
          <w:lang w:eastAsia="ru-RU"/>
        </w:rPr>
        <w:t>• Окунаться лучше всего по шею, не замочив голову, чтобы избежать рефлекторного сужения сосудов головного мозга; Никогда не ныряйте в прорубь вперед головой. Прыжки в воду и погружение в воду с головой не рекомендуются, так как это увеличивает потерю температуры и может привести шоку от холода.</w:t>
      </w:r>
    </w:p>
    <w:p w:rsidR="00E7583E" w:rsidRDefault="0039393B" w:rsidP="00E7583E">
      <w:pPr>
        <w:pStyle w:val="a7"/>
        <w:ind w:firstLine="567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F1651">
        <w:rPr>
          <w:rFonts w:ascii="Arial" w:hAnsi="Arial" w:cs="Arial"/>
          <w:color w:val="000000"/>
          <w:sz w:val="20"/>
          <w:szCs w:val="20"/>
          <w:lang w:eastAsia="ru-RU"/>
        </w:rPr>
        <w:t>• При входе в воду первый раз старайтесь быстро достигнуть нужной Вам глубины, но не плавайте. Помните, что холодная вода может вызвать совершенно нормальное безопасное учащенное дыхание. Как только Ваше тело приспособилось к холоду.</w:t>
      </w:r>
    </w:p>
    <w:p w:rsidR="00E7583E" w:rsidRDefault="0039393B" w:rsidP="00E7583E">
      <w:pPr>
        <w:pStyle w:val="a7"/>
        <w:ind w:firstLine="567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F1651">
        <w:rPr>
          <w:rFonts w:ascii="Arial" w:hAnsi="Arial" w:cs="Arial"/>
          <w:color w:val="000000"/>
          <w:sz w:val="20"/>
          <w:szCs w:val="20"/>
          <w:lang w:eastAsia="ru-RU"/>
        </w:rPr>
        <w:t>• Не находиться в проруби более 1 минуты во избежание общего переохлаждения организма.</w:t>
      </w:r>
    </w:p>
    <w:p w:rsidR="00E7583E" w:rsidRDefault="0039393B" w:rsidP="00E7583E">
      <w:pPr>
        <w:pStyle w:val="a7"/>
        <w:ind w:firstLine="567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F1651">
        <w:rPr>
          <w:rFonts w:ascii="Arial" w:hAnsi="Arial" w:cs="Arial"/>
          <w:color w:val="000000"/>
          <w:sz w:val="20"/>
          <w:szCs w:val="20"/>
          <w:lang w:eastAsia="ru-RU"/>
        </w:rPr>
        <w:t>• Если с вами ребенок, следите за ним во время его погружения в прорубь. Испугавшийся ребенок может легко забыть, что он умеет плавать.</w:t>
      </w:r>
    </w:p>
    <w:p w:rsidR="00E7583E" w:rsidRDefault="0039393B" w:rsidP="00E7583E">
      <w:pPr>
        <w:pStyle w:val="a7"/>
        <w:ind w:firstLine="567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F1651">
        <w:rPr>
          <w:rFonts w:ascii="Arial" w:hAnsi="Arial" w:cs="Arial"/>
          <w:color w:val="000000"/>
          <w:sz w:val="20"/>
          <w:szCs w:val="20"/>
          <w:lang w:eastAsia="ru-RU"/>
        </w:rPr>
        <w:t>• После купания (окунания) разотрите себя и ребенка махровым полотенцем и наденьте сухую одежду.</w:t>
      </w:r>
    </w:p>
    <w:p w:rsidR="00E7583E" w:rsidRDefault="0039393B" w:rsidP="00E7583E">
      <w:pPr>
        <w:pStyle w:val="a7"/>
        <w:ind w:firstLine="567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F1651">
        <w:rPr>
          <w:rFonts w:ascii="Arial" w:hAnsi="Arial" w:cs="Arial"/>
          <w:color w:val="000000"/>
          <w:sz w:val="20"/>
          <w:szCs w:val="20"/>
          <w:lang w:eastAsia="ru-RU"/>
        </w:rPr>
        <w:t xml:space="preserve">• Для укрепления иммунитета и во </w:t>
      </w:r>
      <w:r w:rsidR="00E7583E" w:rsidRPr="00EF1651">
        <w:rPr>
          <w:rFonts w:ascii="Arial" w:hAnsi="Arial" w:cs="Arial"/>
          <w:color w:val="000000"/>
          <w:sz w:val="20"/>
          <w:szCs w:val="20"/>
          <w:lang w:eastAsia="ru-RU"/>
        </w:rPr>
        <w:t>избежание</w:t>
      </w:r>
      <w:r w:rsidRPr="00EF1651">
        <w:rPr>
          <w:rFonts w:ascii="Arial" w:hAnsi="Arial" w:cs="Arial"/>
          <w:color w:val="000000"/>
          <w:sz w:val="20"/>
          <w:szCs w:val="20"/>
          <w:lang w:eastAsia="ru-RU"/>
        </w:rPr>
        <w:t xml:space="preserve"> возможности переохлаждения необходимо выпить горячий чай, лучше всего из ягод, фруктов  из предварительно подготовленного термоса.</w:t>
      </w:r>
    </w:p>
    <w:p w:rsidR="00E7583E" w:rsidRDefault="0039393B" w:rsidP="00E7583E">
      <w:pPr>
        <w:pStyle w:val="a7"/>
        <w:ind w:firstLine="567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F1651">
        <w:rPr>
          <w:rFonts w:ascii="Arial" w:hAnsi="Arial" w:cs="Arial"/>
          <w:color w:val="000000"/>
          <w:sz w:val="20"/>
          <w:szCs w:val="20"/>
          <w:lang w:eastAsia="ru-RU"/>
        </w:rPr>
        <w:t>Противопоказания к купанию в проруби:</w:t>
      </w:r>
    </w:p>
    <w:p w:rsidR="00E7583E" w:rsidRDefault="0039393B" w:rsidP="00E7583E">
      <w:pPr>
        <w:pStyle w:val="a7"/>
        <w:ind w:firstLine="567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F1651">
        <w:rPr>
          <w:rFonts w:ascii="Arial" w:hAnsi="Arial" w:cs="Arial"/>
          <w:color w:val="000000"/>
          <w:sz w:val="20"/>
          <w:szCs w:val="20"/>
          <w:lang w:eastAsia="ru-RU"/>
        </w:rPr>
        <w:t>Зимнее плавание противопоказано людям при следующих острых и хронических (в стадии обострения) заболеваниях:</w:t>
      </w:r>
    </w:p>
    <w:p w:rsidR="00E7583E" w:rsidRDefault="0039393B" w:rsidP="00E7583E">
      <w:pPr>
        <w:pStyle w:val="a7"/>
        <w:ind w:firstLine="567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F1651">
        <w:rPr>
          <w:rFonts w:ascii="Arial" w:hAnsi="Arial" w:cs="Arial"/>
          <w:color w:val="000000"/>
          <w:sz w:val="20"/>
          <w:szCs w:val="20"/>
          <w:lang w:eastAsia="ru-RU"/>
        </w:rPr>
        <w:t>- воспалительные заболевания носоглотки, придаточных полостей носа, отиты;</w:t>
      </w:r>
    </w:p>
    <w:p w:rsidR="00E7583E" w:rsidRDefault="0039393B" w:rsidP="00E7583E">
      <w:pPr>
        <w:pStyle w:val="a7"/>
        <w:ind w:firstLine="567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F1651">
        <w:rPr>
          <w:rFonts w:ascii="Arial" w:hAnsi="Arial" w:cs="Arial"/>
          <w:color w:val="000000"/>
          <w:sz w:val="20"/>
          <w:szCs w:val="20"/>
          <w:lang w:eastAsia="ru-RU"/>
        </w:rPr>
        <w:t xml:space="preserve">- </w:t>
      </w:r>
      <w:proofErr w:type="spellStart"/>
      <w:proofErr w:type="gramStart"/>
      <w:r w:rsidRPr="00EF1651">
        <w:rPr>
          <w:rFonts w:ascii="Arial" w:hAnsi="Arial" w:cs="Arial"/>
          <w:color w:val="000000"/>
          <w:sz w:val="20"/>
          <w:szCs w:val="20"/>
          <w:lang w:eastAsia="ru-RU"/>
        </w:rPr>
        <w:t>сердечно-сосудистой</w:t>
      </w:r>
      <w:proofErr w:type="spellEnd"/>
      <w:proofErr w:type="gramEnd"/>
      <w:r w:rsidRPr="00EF1651">
        <w:rPr>
          <w:rFonts w:ascii="Arial" w:hAnsi="Arial" w:cs="Arial"/>
          <w:color w:val="000000"/>
          <w:sz w:val="20"/>
          <w:szCs w:val="20"/>
          <w:lang w:eastAsia="ru-RU"/>
        </w:rPr>
        <w:t xml:space="preserve"> системы (врожденные и приобретенные пороки клапанов сердца, ишемическая болезнь сердца с приступами стенокардии; перенесенный инфаркт миокарда, </w:t>
      </w:r>
      <w:proofErr w:type="spellStart"/>
      <w:r w:rsidRPr="00EF1651">
        <w:rPr>
          <w:rFonts w:ascii="Arial" w:hAnsi="Arial" w:cs="Arial"/>
          <w:color w:val="000000"/>
          <w:sz w:val="20"/>
          <w:szCs w:val="20"/>
          <w:lang w:eastAsia="ru-RU"/>
        </w:rPr>
        <w:t>коронаро-кардиосклероз</w:t>
      </w:r>
      <w:proofErr w:type="spellEnd"/>
      <w:r w:rsidRPr="00EF1651">
        <w:rPr>
          <w:rFonts w:ascii="Arial" w:hAnsi="Arial" w:cs="Arial"/>
          <w:color w:val="000000"/>
          <w:sz w:val="20"/>
          <w:szCs w:val="20"/>
          <w:lang w:eastAsia="ru-RU"/>
        </w:rPr>
        <w:t>, гипертоническая болезнь II и III стадий);</w:t>
      </w:r>
    </w:p>
    <w:p w:rsidR="00E7583E" w:rsidRDefault="0039393B" w:rsidP="00E7583E">
      <w:pPr>
        <w:pStyle w:val="a7"/>
        <w:ind w:firstLine="567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F1651">
        <w:rPr>
          <w:rFonts w:ascii="Arial" w:hAnsi="Arial" w:cs="Arial"/>
          <w:color w:val="000000"/>
          <w:sz w:val="20"/>
          <w:szCs w:val="20"/>
          <w:lang w:eastAsia="ru-RU"/>
        </w:rPr>
        <w:t>- центральной нервной системы (эпилепсия, последствия тяжелых травм черепа; склероз сосудов головного мозга в выраженной стадии, сирингомиелия; энцефалит, арахноидит);</w:t>
      </w:r>
    </w:p>
    <w:p w:rsidR="00E7583E" w:rsidRDefault="0039393B" w:rsidP="00E7583E">
      <w:pPr>
        <w:pStyle w:val="a7"/>
        <w:ind w:firstLine="567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F1651">
        <w:rPr>
          <w:rFonts w:ascii="Arial" w:hAnsi="Arial" w:cs="Arial"/>
          <w:color w:val="000000"/>
          <w:sz w:val="20"/>
          <w:szCs w:val="20"/>
          <w:lang w:eastAsia="ru-RU"/>
        </w:rPr>
        <w:t>- периферической нервной системы (невриты, полиневриты);</w:t>
      </w:r>
    </w:p>
    <w:p w:rsidR="00E7583E" w:rsidRDefault="0039393B" w:rsidP="00E7583E">
      <w:pPr>
        <w:pStyle w:val="a7"/>
        <w:ind w:firstLine="567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F1651">
        <w:rPr>
          <w:rFonts w:ascii="Arial" w:hAnsi="Arial" w:cs="Arial"/>
          <w:color w:val="000000"/>
          <w:sz w:val="20"/>
          <w:szCs w:val="20"/>
          <w:lang w:eastAsia="ru-RU"/>
        </w:rPr>
        <w:t>- эндокринной системы (сахарный диабет, тиреотоксикоз);</w:t>
      </w:r>
    </w:p>
    <w:p w:rsidR="00E7583E" w:rsidRDefault="0039393B" w:rsidP="00E7583E">
      <w:pPr>
        <w:pStyle w:val="a7"/>
        <w:ind w:firstLine="567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F1651">
        <w:rPr>
          <w:rFonts w:ascii="Arial" w:hAnsi="Arial" w:cs="Arial"/>
          <w:color w:val="000000"/>
          <w:sz w:val="20"/>
          <w:szCs w:val="20"/>
          <w:lang w:eastAsia="ru-RU"/>
        </w:rPr>
        <w:t>- органов зрения (глаукома, конъюнктивит);</w:t>
      </w:r>
    </w:p>
    <w:p w:rsidR="00E7583E" w:rsidRDefault="0039393B" w:rsidP="00E7583E">
      <w:pPr>
        <w:pStyle w:val="a7"/>
        <w:ind w:firstLine="567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F1651">
        <w:rPr>
          <w:rFonts w:ascii="Arial" w:hAnsi="Arial" w:cs="Arial"/>
          <w:color w:val="000000"/>
          <w:sz w:val="20"/>
          <w:szCs w:val="20"/>
          <w:lang w:eastAsia="ru-RU"/>
        </w:rPr>
        <w:t>- органов дыхания (туберкулез легких - активный и в стадии осложнений, воспаление легких, бронхиальная астма, эмфизема);</w:t>
      </w:r>
    </w:p>
    <w:p w:rsidR="00E7583E" w:rsidRDefault="0039393B" w:rsidP="00E7583E">
      <w:pPr>
        <w:pStyle w:val="a7"/>
        <w:ind w:firstLine="567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F1651">
        <w:rPr>
          <w:rFonts w:ascii="Arial" w:hAnsi="Arial" w:cs="Arial"/>
          <w:color w:val="000000"/>
          <w:sz w:val="20"/>
          <w:szCs w:val="20"/>
          <w:lang w:eastAsia="ru-RU"/>
        </w:rPr>
        <w:t>- мочеполовой системы (нефрит, цистит, воспаление придатков, воспаление предстательной железы);</w:t>
      </w:r>
    </w:p>
    <w:p w:rsidR="00E7583E" w:rsidRDefault="0039393B" w:rsidP="00E7583E">
      <w:pPr>
        <w:pStyle w:val="a7"/>
        <w:ind w:firstLine="567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F1651">
        <w:rPr>
          <w:rFonts w:ascii="Arial" w:hAnsi="Arial" w:cs="Arial"/>
          <w:color w:val="000000"/>
          <w:sz w:val="20"/>
          <w:szCs w:val="20"/>
          <w:lang w:eastAsia="ru-RU"/>
        </w:rPr>
        <w:t>- желудочно-кишечного тракта (язвенная болезнь желудка, энтероколит, холецистит, гепатит);</w:t>
      </w:r>
    </w:p>
    <w:p w:rsidR="00E7583E" w:rsidRDefault="0039393B" w:rsidP="00E7583E">
      <w:pPr>
        <w:pStyle w:val="a7"/>
        <w:ind w:firstLine="567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F1651">
        <w:rPr>
          <w:rFonts w:ascii="Arial" w:hAnsi="Arial" w:cs="Arial"/>
          <w:color w:val="000000"/>
          <w:sz w:val="20"/>
          <w:szCs w:val="20"/>
          <w:lang w:eastAsia="ru-RU"/>
        </w:rPr>
        <w:t>- кожно-венерические заболевания.</w:t>
      </w:r>
    </w:p>
    <w:p w:rsidR="00E7583E" w:rsidRDefault="0039393B" w:rsidP="00E7583E">
      <w:pPr>
        <w:pStyle w:val="a7"/>
        <w:ind w:firstLine="567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F1651">
        <w:rPr>
          <w:rFonts w:ascii="Arial" w:hAnsi="Arial" w:cs="Arial"/>
          <w:color w:val="000000"/>
          <w:sz w:val="20"/>
          <w:szCs w:val="20"/>
          <w:lang w:eastAsia="ru-RU"/>
        </w:rPr>
        <w:t>Что необходимо для купания в проруби в Крещение Господня:</w:t>
      </w:r>
    </w:p>
    <w:p w:rsidR="00E7583E" w:rsidRDefault="0039393B" w:rsidP="00E7583E">
      <w:pPr>
        <w:pStyle w:val="a7"/>
        <w:ind w:firstLine="567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F1651">
        <w:rPr>
          <w:rFonts w:ascii="Arial" w:hAnsi="Arial" w:cs="Arial"/>
          <w:color w:val="000000"/>
          <w:sz w:val="20"/>
          <w:szCs w:val="20"/>
          <w:lang w:eastAsia="ru-RU"/>
        </w:rPr>
        <w:t>• полотенце и махровый халат, комплект сухой одежды;</w:t>
      </w:r>
    </w:p>
    <w:p w:rsidR="00E7583E" w:rsidRDefault="0039393B" w:rsidP="00E7583E">
      <w:pPr>
        <w:pStyle w:val="a7"/>
        <w:ind w:firstLine="567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F1651">
        <w:rPr>
          <w:rFonts w:ascii="Arial" w:hAnsi="Arial" w:cs="Arial"/>
          <w:color w:val="000000"/>
          <w:sz w:val="20"/>
          <w:szCs w:val="20"/>
          <w:lang w:eastAsia="ru-RU"/>
        </w:rPr>
        <w:t>• плавки или купальник, можно в белье;</w:t>
      </w:r>
    </w:p>
    <w:p w:rsidR="00E7583E" w:rsidRDefault="0039393B" w:rsidP="00E7583E">
      <w:pPr>
        <w:pStyle w:val="a7"/>
        <w:ind w:firstLine="567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F1651">
        <w:rPr>
          <w:rFonts w:ascii="Arial" w:hAnsi="Arial" w:cs="Arial"/>
          <w:color w:val="000000"/>
          <w:sz w:val="20"/>
          <w:szCs w:val="20"/>
          <w:lang w:eastAsia="ru-RU"/>
        </w:rPr>
        <w:t>• тапочки, чтобы не поранить ноги, только чтобы не скользили при ходьбе по</w:t>
      </w:r>
      <w:r w:rsidR="00E7583E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EF1651">
        <w:rPr>
          <w:rFonts w:ascii="Arial" w:hAnsi="Arial" w:cs="Arial"/>
          <w:color w:val="000000"/>
          <w:sz w:val="20"/>
          <w:szCs w:val="20"/>
          <w:lang w:eastAsia="ru-RU"/>
        </w:rPr>
        <w:t>льду, лучше шерстяные носки, в них можно купаться, ботинки;</w:t>
      </w:r>
    </w:p>
    <w:p w:rsidR="00E7583E" w:rsidRDefault="0039393B" w:rsidP="00E7583E">
      <w:pPr>
        <w:pStyle w:val="a7"/>
        <w:ind w:firstLine="567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F1651">
        <w:rPr>
          <w:rFonts w:ascii="Arial" w:hAnsi="Arial" w:cs="Arial"/>
          <w:color w:val="000000"/>
          <w:sz w:val="20"/>
          <w:szCs w:val="20"/>
          <w:lang w:eastAsia="ru-RU"/>
        </w:rPr>
        <w:t>• резиновая шапочка;</w:t>
      </w:r>
    </w:p>
    <w:p w:rsidR="0039393B" w:rsidRPr="00EF1651" w:rsidRDefault="0039393B" w:rsidP="00E7583E">
      <w:pPr>
        <w:pStyle w:val="a7"/>
        <w:ind w:firstLine="567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EF1651">
        <w:rPr>
          <w:rFonts w:ascii="Arial" w:hAnsi="Arial" w:cs="Arial"/>
          <w:color w:val="000000"/>
          <w:sz w:val="20"/>
          <w:szCs w:val="20"/>
          <w:lang w:eastAsia="ru-RU"/>
        </w:rPr>
        <w:t>• сила воли и желание.</w:t>
      </w:r>
    </w:p>
    <w:p w:rsidR="00EF1651" w:rsidRPr="00EF1651" w:rsidRDefault="0039393B" w:rsidP="00E7583E">
      <w:pPr>
        <w:pStyle w:val="a7"/>
        <w:ind w:firstLine="567"/>
        <w:jc w:val="both"/>
        <w:rPr>
          <w:sz w:val="20"/>
          <w:szCs w:val="20"/>
        </w:rPr>
      </w:pPr>
      <w:r w:rsidRPr="00EF1651">
        <w:rPr>
          <w:rFonts w:ascii="Arial" w:hAnsi="Arial" w:cs="Arial"/>
          <w:color w:val="000000"/>
          <w:sz w:val="20"/>
          <w:szCs w:val="20"/>
          <w:lang w:eastAsia="ru-RU"/>
        </w:rPr>
        <w:t xml:space="preserve">Управление </w:t>
      </w:r>
      <w:r w:rsidR="00E7583E" w:rsidRPr="00EF1651">
        <w:rPr>
          <w:rFonts w:ascii="Arial" w:hAnsi="Arial" w:cs="Arial"/>
          <w:color w:val="000000"/>
          <w:sz w:val="20"/>
          <w:szCs w:val="20"/>
        </w:rPr>
        <w:t xml:space="preserve">по делам гражданской обороны и чрезвычайным ситуациям, казачества, военным вопросам и взаимодействию с </w:t>
      </w:r>
      <w:r w:rsidR="00E7583E" w:rsidRPr="00EF1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правоохранительными органами</w:t>
      </w:r>
      <w:r w:rsidR="00E7583E" w:rsidRPr="00EF1651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E7583E" w:rsidRPr="00EF1651">
        <w:rPr>
          <w:rFonts w:ascii="Arial" w:hAnsi="Arial" w:cs="Arial"/>
          <w:color w:val="000000"/>
          <w:sz w:val="20"/>
          <w:szCs w:val="20"/>
        </w:rPr>
        <w:t xml:space="preserve">администрации МО </w:t>
      </w:r>
      <w:proofErr w:type="spellStart"/>
      <w:r w:rsidR="00E7583E" w:rsidRPr="00EF1651">
        <w:rPr>
          <w:rFonts w:ascii="Arial" w:hAnsi="Arial" w:cs="Arial"/>
          <w:color w:val="000000"/>
          <w:sz w:val="20"/>
          <w:szCs w:val="20"/>
        </w:rPr>
        <w:t>Гулькевичский</w:t>
      </w:r>
      <w:proofErr w:type="spellEnd"/>
      <w:r w:rsidR="00E7583E" w:rsidRPr="00EF1651">
        <w:rPr>
          <w:rFonts w:ascii="Arial" w:hAnsi="Arial" w:cs="Arial"/>
          <w:color w:val="000000"/>
          <w:sz w:val="20"/>
          <w:szCs w:val="20"/>
        </w:rPr>
        <w:t xml:space="preserve"> район</w:t>
      </w:r>
      <w:r w:rsidR="00E7583E" w:rsidRPr="00EF1651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EF1651">
        <w:rPr>
          <w:rFonts w:ascii="Arial" w:hAnsi="Arial" w:cs="Arial"/>
          <w:color w:val="000000"/>
          <w:sz w:val="20"/>
          <w:szCs w:val="20"/>
          <w:lang w:eastAsia="ru-RU"/>
        </w:rPr>
        <w:t>настоятельно рекомендует гражданам исп</w:t>
      </w:r>
      <w:r w:rsidR="00E7583E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 w:rsidRPr="00EF1651">
        <w:rPr>
          <w:rFonts w:ascii="Arial" w:hAnsi="Arial" w:cs="Arial"/>
          <w:color w:val="000000"/>
          <w:sz w:val="20"/>
          <w:szCs w:val="20"/>
          <w:lang w:eastAsia="ru-RU"/>
        </w:rPr>
        <w:t>льзовать для крещенских купаний только оборудованное место и неукоснительно соблюдать меры безопасности.</w:t>
      </w:r>
    </w:p>
    <w:sectPr w:rsidR="00EF1651" w:rsidRPr="00EF1651" w:rsidSect="0039393B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9393B"/>
    <w:rsid w:val="003070D7"/>
    <w:rsid w:val="0039393B"/>
    <w:rsid w:val="0067119C"/>
    <w:rsid w:val="00D72792"/>
    <w:rsid w:val="00E7583E"/>
    <w:rsid w:val="00ED3016"/>
    <w:rsid w:val="00EF1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651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9393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F16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93B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393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9393B"/>
  </w:style>
  <w:style w:type="character" w:styleId="a4">
    <w:name w:val="Strong"/>
    <w:basedOn w:val="a0"/>
    <w:uiPriority w:val="22"/>
    <w:qFormat/>
    <w:rsid w:val="0039393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393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39393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9393B"/>
  </w:style>
  <w:style w:type="character" w:customStyle="1" w:styleId="20">
    <w:name w:val="Заголовок 2 Знак"/>
    <w:basedOn w:val="a0"/>
    <w:link w:val="2"/>
    <w:semiHidden/>
    <w:rsid w:val="00EF1651"/>
    <w:rPr>
      <w:rFonts w:ascii="Cambria" w:eastAsia="Times New Roman" w:hAnsi="Cambria"/>
      <w:b/>
      <w:bCs/>
      <w:i/>
      <w:i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9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661</Words>
  <Characters>3768</Characters>
  <Application>Microsoft Office Word</Application>
  <DocSecurity>0</DocSecurity>
  <Lines>31</Lines>
  <Paragraphs>8</Paragraphs>
  <ScaleCrop>false</ScaleCrop>
  <Company>Microsoft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2017-01-11T12:08:00Z</dcterms:created>
  <dcterms:modified xsi:type="dcterms:W3CDTF">2017-01-11T12:32:00Z</dcterms:modified>
</cp:coreProperties>
</file>